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355"/>
        </w:tabs>
        <w:spacing w:after="0"/>
        <w:rPr>
          <w:rFonts w:hint="default" w:ascii="Arial" w:hAnsi="Arial" w:cs="Arial"/>
          <w:i/>
          <w:szCs w:val="24"/>
          <w:lang w:val="en-US"/>
        </w:rPr>
      </w:pPr>
      <w:r>
        <w:rPr>
          <w:rFonts w:ascii="Arial" w:hAnsi="Arial" w:cs="Arial"/>
          <w:szCs w:val="24"/>
          <w:lang w:val="en-US"/>
        </w:rPr>
        <w:t>3GPP TSG-SA4 Meeting #10</w:t>
      </w:r>
      <w:r>
        <w:rPr>
          <w:rFonts w:hint="default" w:ascii="Arial" w:hAnsi="Arial" w:cs="Arial"/>
          <w:szCs w:val="24"/>
          <w:lang w:val="en-US"/>
        </w:rPr>
        <w:t>3</w:t>
      </w:r>
      <w:r>
        <w:rPr>
          <w:rFonts w:ascii="Arial" w:hAnsi="Arial" w:cs="Arial"/>
          <w:szCs w:val="24"/>
          <w:lang w:val="en-US"/>
        </w:rPr>
        <w:tab/>
      </w:r>
      <w:r>
        <w:rPr>
          <w:rFonts w:ascii="Arial" w:hAnsi="Arial" w:cs="Arial"/>
          <w:i/>
          <w:sz w:val="28"/>
        </w:rPr>
        <w:t>S4-190</w:t>
      </w:r>
      <w:r>
        <w:rPr>
          <w:rFonts w:hint="default" w:cs="Arial"/>
          <w:i/>
          <w:sz w:val="28"/>
          <w:lang w:val="en-US"/>
        </w:rPr>
        <w:t>305</w:t>
      </w:r>
    </w:p>
    <w:p>
      <w:pPr>
        <w:tabs>
          <w:tab w:val="right" w:pos="9356"/>
        </w:tabs>
        <w:spacing w:after="0"/>
        <w:rPr>
          <w:rFonts w:ascii="Arial" w:hAnsi="Arial" w:cs="Arial"/>
        </w:rPr>
      </w:pPr>
      <w:r>
        <w:rPr>
          <w:rFonts w:hint="default" w:ascii="Arial" w:hAnsi="Arial" w:cs="Arial"/>
          <w:lang w:val="en-US"/>
        </w:rPr>
        <w:t>Newport Beach</w:t>
      </w:r>
      <w:r>
        <w:rPr>
          <w:rFonts w:ascii="Arial" w:hAnsi="Arial" w:cs="Arial"/>
        </w:rPr>
        <w:t xml:space="preserve">, </w:t>
      </w:r>
      <w:r>
        <w:rPr>
          <w:rFonts w:hint="default" w:ascii="Arial" w:hAnsi="Arial" w:cs="Arial"/>
          <w:lang w:val="en-US"/>
        </w:rPr>
        <w:t>California,</w:t>
      </w:r>
      <w:r>
        <w:rPr>
          <w:rFonts w:ascii="Arial" w:hAnsi="Arial" w:cs="Arial"/>
        </w:rPr>
        <w:t xml:space="preserve"> 8 </w:t>
      </w:r>
      <w:r>
        <w:rPr>
          <w:rFonts w:hint="default" w:ascii="Arial" w:hAnsi="Arial" w:cs="Arial"/>
          <w:lang w:val="en-US"/>
        </w:rPr>
        <w:t xml:space="preserve">Apr </w:t>
      </w:r>
      <w:r>
        <w:rPr>
          <w:rFonts w:ascii="Arial" w:hAnsi="Arial" w:cs="Arial"/>
        </w:rPr>
        <w:t>– 1</w:t>
      </w:r>
      <w:r>
        <w:rPr>
          <w:rFonts w:hint="default" w:ascii="Arial" w:hAnsi="Arial" w:cs="Arial"/>
          <w:lang w:val="en-US"/>
        </w:rPr>
        <w:t>2</w:t>
      </w:r>
      <w:r>
        <w:rPr>
          <w:rFonts w:ascii="Arial" w:hAnsi="Arial" w:cs="Arial"/>
        </w:rPr>
        <w:t xml:space="preserve"> </w:t>
      </w:r>
      <w:r>
        <w:rPr>
          <w:rFonts w:hint="default" w:ascii="Arial" w:hAnsi="Arial" w:cs="Arial"/>
          <w:lang w:val="en-US"/>
        </w:rPr>
        <w:t xml:space="preserve">Apr </w:t>
      </w:r>
      <w:r>
        <w:rPr>
          <w:rFonts w:ascii="Arial" w:hAnsi="Arial" w:cs="Arial"/>
        </w:rPr>
        <w:t>2019</w:t>
      </w:r>
      <w:r>
        <w:rPr>
          <w:rFonts w:ascii="Arial" w:hAnsi="Arial" w:cs="Arial"/>
        </w:rPr>
        <w:tab/>
      </w:r>
    </w:p>
    <w:p>
      <w:pPr>
        <w:tabs>
          <w:tab w:val="left" w:pos="2127"/>
        </w:tabs>
        <w:spacing w:before="240"/>
        <w:rPr>
          <w:b/>
          <w:sz w:val="24"/>
        </w:rPr>
      </w:pPr>
    </w:p>
    <w:p>
      <w:pPr>
        <w:tabs>
          <w:tab w:val="left" w:pos="2127"/>
        </w:tabs>
        <w:spacing w:before="240"/>
        <w:rPr>
          <w:b/>
          <w:sz w:val="24"/>
        </w:rPr>
      </w:pPr>
    </w:p>
    <w:p>
      <w:pPr>
        <w:tabs>
          <w:tab w:val="left" w:pos="2127"/>
        </w:tabs>
        <w:spacing w:before="240"/>
        <w:rPr>
          <w:rFonts w:hint="default"/>
          <w:b/>
          <w:sz w:val="24"/>
          <w:lang w:val="en-US"/>
        </w:rPr>
      </w:pPr>
      <w:r>
        <w:rPr>
          <w:b/>
          <w:sz w:val="24"/>
        </w:rPr>
        <w:t>Source:</w:t>
      </w:r>
      <w:r>
        <w:rPr>
          <w:b/>
          <w:sz w:val="24"/>
        </w:rPr>
        <w:tab/>
      </w:r>
      <w:r>
        <w:rPr>
          <w:rFonts w:hint="default"/>
          <w:b/>
          <w:sz w:val="24"/>
          <w:lang w:val="en-US"/>
        </w:rPr>
        <w:t>Huawei Technologies Co., Ltd.</w:t>
      </w:r>
    </w:p>
    <w:p>
      <w:pPr>
        <w:tabs>
          <w:tab w:val="left" w:pos="2127"/>
        </w:tabs>
        <w:ind w:left="2131" w:hanging="2131"/>
        <w:rPr>
          <w:rFonts w:hint="default"/>
          <w:b/>
          <w:sz w:val="24"/>
          <w:lang w:val="en-US"/>
        </w:rPr>
      </w:pPr>
      <w:r>
        <w:rPr>
          <w:b/>
          <w:sz w:val="24"/>
        </w:rPr>
        <w:t>Title:</w:t>
      </w:r>
      <w:r>
        <w:rPr>
          <w:b/>
          <w:sz w:val="24"/>
        </w:rPr>
        <w:tab/>
      </w:r>
      <w:r>
        <w:rPr>
          <w:rFonts w:hint="default"/>
          <w:b/>
          <w:sz w:val="24"/>
          <w:lang w:val="en-US"/>
        </w:rPr>
        <w:t>On the default renderer for IVAS</w:t>
      </w:r>
    </w:p>
    <w:p>
      <w:pPr>
        <w:tabs>
          <w:tab w:val="left" w:pos="2127"/>
        </w:tabs>
        <w:ind w:left="2131" w:hanging="2131"/>
        <w:rPr>
          <w:b/>
          <w:sz w:val="24"/>
        </w:rPr>
      </w:pPr>
      <w:r>
        <w:rPr>
          <w:b/>
          <w:sz w:val="24"/>
        </w:rPr>
        <w:t>Document for:</w:t>
      </w:r>
      <w:r>
        <w:rPr>
          <w:b/>
          <w:sz w:val="24"/>
        </w:rPr>
        <w:tab/>
      </w:r>
      <w:r>
        <w:rPr>
          <w:b/>
          <w:sz w:val="24"/>
        </w:rPr>
        <w:t>Discussion &amp; Agreement</w:t>
      </w:r>
    </w:p>
    <w:p>
      <w:pPr>
        <w:tabs>
          <w:tab w:val="left" w:pos="2127"/>
        </w:tabs>
        <w:ind w:left="2131" w:hanging="2131"/>
        <w:rPr>
          <w:b/>
          <w:sz w:val="24"/>
        </w:rPr>
      </w:pPr>
      <w:r>
        <w:rPr>
          <w:b/>
          <w:sz w:val="24"/>
        </w:rPr>
        <w:t>Agenda Item:</w:t>
      </w:r>
      <w:r>
        <w:rPr>
          <w:b/>
          <w:sz w:val="24"/>
        </w:rPr>
        <w:tab/>
      </w:r>
    </w:p>
    <w:p>
      <w:pPr>
        <w:pBdr>
          <w:top w:val="single" w:color="auto" w:sz="12" w:space="1"/>
        </w:pBdr>
      </w:pPr>
    </w:p>
    <w:p>
      <w:pPr>
        <w:numPr>
          <w:ilvl w:val="0"/>
          <w:numId w:val="1"/>
        </w:numPr>
        <w:rPr>
          <w:rFonts w:hint="default"/>
          <w:b/>
          <w:sz w:val="24"/>
          <w:lang w:val="en-US"/>
        </w:rPr>
      </w:pPr>
      <w:r>
        <w:rPr>
          <w:rFonts w:hint="default"/>
          <w:b/>
          <w:sz w:val="24"/>
          <w:lang w:val="en-US"/>
        </w:rPr>
        <w:t>Introduction</w:t>
      </w:r>
    </w:p>
    <w:p>
      <w:pPr>
        <w:rPr>
          <w:rFonts w:hint="default"/>
          <w:lang w:val="en-US"/>
        </w:rPr>
      </w:pPr>
    </w:p>
    <w:p>
      <w:pPr>
        <w:rPr>
          <w:rFonts w:hint="default"/>
          <w:lang w:val="en-US"/>
        </w:rPr>
      </w:pPr>
      <w:r>
        <w:rPr>
          <w:rFonts w:hint="default"/>
          <w:lang w:val="en-US"/>
        </w:rPr>
        <w:t xml:space="preserve">In the current development of the IVAS design constraints (IVAS-4), although it has been mentioned and broadly supported by experts that IVAS standard should have a renderer as an integral part of the standard, the source felt that the importance and necessity of such a renderer might not have been fully debated and documented yet. </w:t>
      </w:r>
    </w:p>
    <w:p>
      <w:pPr>
        <w:rPr>
          <w:rFonts w:hint="default"/>
          <w:lang w:val="en-US"/>
        </w:rPr>
      </w:pPr>
    </w:p>
    <w:p>
      <w:pPr>
        <w:numPr>
          <w:ilvl w:val="0"/>
          <w:numId w:val="1"/>
        </w:numPr>
        <w:rPr>
          <w:rFonts w:hint="default"/>
          <w:b/>
          <w:sz w:val="24"/>
          <w:lang w:val="en-US"/>
        </w:rPr>
      </w:pPr>
      <w:r>
        <w:rPr>
          <w:rFonts w:hint="default"/>
          <w:b/>
          <w:sz w:val="24"/>
          <w:lang w:val="en-US"/>
        </w:rPr>
        <w:t>Discussions</w:t>
      </w:r>
    </w:p>
    <w:p>
      <w:pPr>
        <w:rPr>
          <w:rFonts w:hint="default"/>
          <w:lang w:val="en-US"/>
        </w:rPr>
      </w:pPr>
    </w:p>
    <w:p>
      <w:pPr>
        <w:numPr>
          <w:ilvl w:val="0"/>
          <w:numId w:val="0"/>
        </w:numPr>
        <w:ind w:leftChars="0"/>
        <w:rPr>
          <w:rFonts w:hint="eastAsia"/>
        </w:rPr>
      </w:pPr>
      <w:r>
        <w:rPr>
          <w:rFonts w:hint="default"/>
          <w:lang w:val="en-US"/>
        </w:rPr>
        <w:t>Any codec standard must serve two fundamental purposes, to guarantee interoperability and to defend a minimum service quality. Giving that a</w:t>
      </w:r>
      <w:r>
        <w:rPr>
          <w:rFonts w:hint="eastAsia"/>
        </w:rPr>
        <w:t xml:space="preserve"> renderer can dramatically change the quality of spatial (and non-spatial) audio reproduction</w:t>
      </w:r>
      <w:r>
        <w:rPr>
          <w:rFonts w:hint="default"/>
          <w:lang w:val="en-US"/>
        </w:rPr>
        <w:t>,</w:t>
      </w:r>
      <w:r>
        <w:rPr>
          <w:rFonts w:hint="eastAsia"/>
        </w:rPr>
        <w:t xml:space="preserve"> when developing </w:t>
      </w:r>
      <w:r>
        <w:rPr>
          <w:rFonts w:hint="default"/>
          <w:lang w:val="en-US"/>
        </w:rPr>
        <w:t xml:space="preserve">the IVAS standard </w:t>
      </w:r>
      <w:r>
        <w:rPr>
          <w:rFonts w:hint="eastAsia"/>
        </w:rPr>
        <w:t>it is likely more applicable to compare the quality of a binaural</w:t>
      </w:r>
      <w:r>
        <w:rPr>
          <w:rFonts w:hint="default"/>
          <w:lang w:val="en-US"/>
        </w:rPr>
        <w:t>/rendered</w:t>
      </w:r>
      <w:r>
        <w:rPr>
          <w:rFonts w:hint="eastAsia"/>
        </w:rPr>
        <w:t xml:space="preserve"> output rather than the decoded data stream. Without standardizing this rendering process, the results of any tests become somewhat inaccurate, and without requiring the implementation of the same renderer</w:t>
      </w:r>
      <w:r>
        <w:rPr>
          <w:rFonts w:hint="default"/>
          <w:lang w:val="en-US"/>
        </w:rPr>
        <w:t xml:space="preserve"> (or a better alternative using the provisioned external renderer API)</w:t>
      </w:r>
      <w:r>
        <w:rPr>
          <w:rFonts w:hint="eastAsia"/>
        </w:rPr>
        <w:t xml:space="preserve"> in consumer products there is no way to guarantee </w:t>
      </w:r>
      <w:r>
        <w:rPr>
          <w:rFonts w:hint="default"/>
          <w:lang w:val="en-US"/>
        </w:rPr>
        <w:t xml:space="preserve">a minimum </w:t>
      </w:r>
      <w:r>
        <w:rPr>
          <w:rFonts w:hint="eastAsia"/>
        </w:rPr>
        <w:t xml:space="preserve">quality of </w:t>
      </w:r>
      <w:r>
        <w:rPr>
          <w:rFonts w:hint="default"/>
          <w:lang w:val="en-US"/>
        </w:rPr>
        <w:t>service for IVAS based applications</w:t>
      </w:r>
      <w:r>
        <w:rPr>
          <w:rFonts w:hint="eastAsia"/>
        </w:rPr>
        <w:t>.</w:t>
      </w:r>
    </w:p>
    <w:p>
      <w:pPr>
        <w:numPr>
          <w:ilvl w:val="0"/>
          <w:numId w:val="0"/>
        </w:numPr>
        <w:ind w:leftChars="0"/>
        <w:rPr>
          <w:rFonts w:hint="eastAsia"/>
        </w:rPr>
      </w:pPr>
    </w:p>
    <w:p>
      <w:pPr>
        <w:numPr>
          <w:ilvl w:val="0"/>
          <w:numId w:val="0"/>
        </w:numPr>
        <w:ind w:leftChars="0"/>
        <w:rPr>
          <w:rFonts w:hint="eastAsia"/>
        </w:rPr>
      </w:pPr>
      <w:r>
        <w:rPr>
          <w:rFonts w:hint="eastAsia"/>
        </w:rPr>
        <w:t>Quality differences may include timbral changes. This becomes an issue based on application. By integrating the renderer a content producer on the transmission side may predict how the receiving end will hear the audio. Further, it means that multiple receiver will all hear the same thing. This output could be tested by the transmitter to ensure it sounds good / as anticipated. If everyone is using different renderers then that means everyone will be hearing slightly different versions of the same content. This could mean that whil</w:t>
      </w:r>
      <w:r>
        <w:rPr>
          <w:rFonts w:hint="default"/>
          <w:lang w:val="en-US"/>
        </w:rPr>
        <w:t>e</w:t>
      </w:r>
      <w:r>
        <w:rPr>
          <w:rFonts w:hint="eastAsia"/>
        </w:rPr>
        <w:t xml:space="preserve"> an audio source may be correctly balanced for one person, it may appear to sound weird or not realistic to another.</w:t>
      </w:r>
    </w:p>
    <w:p>
      <w:pPr>
        <w:numPr>
          <w:ilvl w:val="0"/>
          <w:numId w:val="0"/>
        </w:numPr>
        <w:ind w:leftChars="0"/>
        <w:rPr>
          <w:rFonts w:hint="eastAsia"/>
        </w:rPr>
      </w:pPr>
    </w:p>
    <w:p>
      <w:pPr>
        <w:numPr>
          <w:ilvl w:val="0"/>
          <w:numId w:val="0"/>
        </w:numPr>
        <w:ind w:leftChars="0"/>
        <w:rPr>
          <w:rFonts w:hint="eastAsia"/>
        </w:rPr>
      </w:pPr>
      <w:r>
        <w:rPr>
          <w:rFonts w:hint="eastAsia"/>
        </w:rPr>
        <w:t xml:space="preserve">Integrating a renderer may also offer computational savings to the transmision. For example, if the total number of loudspeakers being used </w:t>
      </w:r>
      <w:r>
        <w:rPr>
          <w:rFonts w:hint="default"/>
          <w:lang w:val="en-US"/>
        </w:rPr>
        <w:t xml:space="preserve">is known </w:t>
      </w:r>
      <w:r>
        <w:rPr>
          <w:rFonts w:hint="eastAsia"/>
        </w:rPr>
        <w:t>by the renderer</w:t>
      </w:r>
      <w:r>
        <w:rPr>
          <w:rFonts w:hint="default"/>
          <w:lang w:val="en-US"/>
        </w:rPr>
        <w:t>,</w:t>
      </w:r>
      <w:r>
        <w:rPr>
          <w:rFonts w:hint="eastAsia"/>
        </w:rPr>
        <w:t xml:space="preserve"> </w:t>
      </w:r>
      <w:r>
        <w:rPr>
          <w:rFonts w:hint="default"/>
          <w:lang w:val="en-US"/>
        </w:rPr>
        <w:t xml:space="preserve">it </w:t>
      </w:r>
      <w:r>
        <w:rPr>
          <w:rFonts w:hint="eastAsia"/>
        </w:rPr>
        <w:t xml:space="preserve">may inform the encoder and </w:t>
      </w:r>
      <w:r>
        <w:rPr>
          <w:rFonts w:hint="default"/>
          <w:lang w:val="en-US"/>
        </w:rPr>
        <w:t xml:space="preserve">the </w:t>
      </w:r>
      <w:r>
        <w:rPr>
          <w:rFonts w:hint="eastAsia"/>
        </w:rPr>
        <w:t>excess data could be omitted from the stream.</w:t>
      </w:r>
    </w:p>
    <w:p>
      <w:pPr>
        <w:numPr>
          <w:ilvl w:val="0"/>
          <w:numId w:val="0"/>
        </w:numPr>
        <w:ind w:leftChars="0"/>
        <w:rPr>
          <w:rFonts w:hint="eastAsia"/>
        </w:rPr>
      </w:pPr>
    </w:p>
    <w:p>
      <w:pPr>
        <w:numPr>
          <w:ilvl w:val="0"/>
          <w:numId w:val="0"/>
        </w:numPr>
        <w:ind w:leftChars="0"/>
        <w:rPr>
          <w:rFonts w:hint="default"/>
          <w:lang w:val="en-US"/>
        </w:rPr>
      </w:pPr>
      <w:r>
        <w:rPr>
          <w:rFonts w:hint="default"/>
          <w:lang w:val="en-US"/>
        </w:rPr>
        <w:t>For these considerations, it is therefore important to have a default renderer as part of the IVAS standard.</w:t>
      </w:r>
    </w:p>
    <w:p>
      <w:pPr>
        <w:numPr>
          <w:ilvl w:val="0"/>
          <w:numId w:val="0"/>
        </w:numPr>
        <w:rPr>
          <w:rFonts w:hint="default"/>
          <w:b/>
          <w:sz w:val="24"/>
          <w:lang w:val="en-US"/>
        </w:rPr>
      </w:pPr>
    </w:p>
    <w:p>
      <w:pPr>
        <w:numPr>
          <w:ilvl w:val="0"/>
          <w:numId w:val="1"/>
        </w:numPr>
        <w:rPr>
          <w:rFonts w:hint="default"/>
          <w:b/>
          <w:sz w:val="24"/>
          <w:lang w:val="en-US"/>
        </w:rPr>
      </w:pPr>
      <w:r>
        <w:rPr>
          <w:rFonts w:hint="default"/>
          <w:b/>
          <w:sz w:val="24"/>
          <w:lang w:val="en-US"/>
        </w:rPr>
        <w:t>Proposal</w:t>
      </w:r>
    </w:p>
    <w:p>
      <w:pPr>
        <w:widowControl/>
        <w:spacing w:after="0" w:line="240" w:lineRule="auto"/>
        <w:jc w:val="left"/>
        <w:rPr>
          <w:rFonts w:ascii="Calibri" w:hAnsi="Calibri" w:eastAsia="Calibri" w:cs="Calibri"/>
          <w:sz w:val="22"/>
          <w:szCs w:val="22"/>
          <w:lang w:val="en-US"/>
        </w:rPr>
      </w:pPr>
    </w:p>
    <w:p>
      <w:pPr>
        <w:widowControl/>
        <w:spacing w:after="0" w:line="240" w:lineRule="auto"/>
        <w:jc w:val="left"/>
        <w:rPr>
          <w:rFonts w:hint="default"/>
          <w:lang w:val="en-US"/>
        </w:rPr>
      </w:pPr>
      <w:r>
        <w:rPr>
          <w:rFonts w:hint="default"/>
          <w:lang w:val="en-US"/>
        </w:rPr>
        <w:t>To require a default/mandatory renderer in the IVAS design constraints and in the final specifications, while keeping the passthrough interface for external renderer(s).</w:t>
      </w:r>
    </w:p>
    <w:p>
      <w:pPr>
        <w:widowControl/>
        <w:spacing w:after="0" w:line="240" w:lineRule="auto"/>
        <w:jc w:val="left"/>
        <w:rPr>
          <w:rFonts w:hint="default"/>
          <w:lang w:val="en-US"/>
        </w:rPr>
      </w:pPr>
      <w:bookmarkStart w:id="0" w:name="_GoBack"/>
      <w:bookmarkEnd w:id="0"/>
    </w:p>
    <w:p>
      <w:pPr>
        <w:widowControl/>
        <w:spacing w:after="0" w:line="240" w:lineRule="auto"/>
        <w:jc w:val="left"/>
        <w:rPr>
          <w:rFonts w:hint="default"/>
          <w:lang w:val="en-US"/>
        </w:rPr>
      </w:pPr>
    </w:p>
    <w:p>
      <w:pPr>
        <w:pStyle w:val="2"/>
        <w:rPr>
          <w:b/>
        </w:rPr>
      </w:pPr>
      <w:r>
        <w:rPr>
          <w:b/>
        </w:rPr>
        <w:t>References</w:t>
      </w:r>
    </w:p>
    <w:p>
      <w:pPr>
        <w:numPr>
          <w:ilvl w:val="0"/>
          <w:numId w:val="2"/>
        </w:numPr>
        <w:ind w:left="567" w:hanging="567"/>
        <w:rPr>
          <w:rFonts w:hint="eastAsia"/>
        </w:rPr>
      </w:pPr>
      <w:r>
        <w:t>Tdoc S4-</w:t>
      </w:r>
      <w:r>
        <w:rPr>
          <w:rFonts w:hint="default"/>
          <w:lang w:val="en-US"/>
        </w:rPr>
        <w:t>190yyy</w:t>
      </w:r>
      <w:r>
        <w:t xml:space="preserve">: </w:t>
      </w:r>
      <w:r>
        <w:rPr>
          <w:rFonts w:hint="eastAsia"/>
        </w:rPr>
        <w:t>IVAS-4 Design Constraints v0.0.9_Draft2</w:t>
      </w:r>
    </w:p>
    <w:p>
      <w:pPr>
        <w:numPr>
          <w:ilvl w:val="0"/>
          <w:numId w:val="2"/>
        </w:numPr>
        <w:ind w:left="567" w:hanging="567"/>
        <w:rPr>
          <w:rFonts w:hint="eastAsia"/>
        </w:rPr>
      </w:pPr>
      <w:r>
        <w:rPr>
          <w:rFonts w:hint="eastAsia"/>
        </w:rPr>
        <w:t>AHEVS-444-Design-constraint-defs</w:t>
      </w:r>
    </w:p>
    <w:p/>
    <w:sectPr>
      <w:headerReference r:id="rId4" w:type="first"/>
      <w:footerReference r:id="rId6" w:type="first"/>
      <w:headerReference r:id="rId3" w:type="default"/>
      <w:footerReference r:id="rId5" w:type="default"/>
      <w:endnotePr>
        <w:numFmt w:val="decimal"/>
      </w:endnotePr>
      <w:pgSz w:w="11907" w:h="16840"/>
      <w:pgMar w:top="1138" w:right="1138" w:bottom="1138" w:left="1138" w:header="720" w:footer="720"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rStyle w:val="13"/>
        <w:b/>
      </w:rPr>
      <w:fldChar w:fldCharType="begin"/>
    </w:r>
    <w:r>
      <w:rPr>
        <w:rStyle w:val="13"/>
        <w:b/>
      </w:rPr>
      <w:instrText xml:space="preserve"> PAGE </w:instrText>
    </w:r>
    <w:r>
      <w:rPr>
        <w:rStyle w:val="13"/>
        <w:b/>
      </w:rPr>
      <w:fldChar w:fldCharType="separate"/>
    </w:r>
    <w:r>
      <w:rPr>
        <w:rStyle w:val="13"/>
        <w:b/>
      </w:rPr>
      <w:t>6</w:t>
    </w:r>
    <w:r>
      <w:rPr>
        <w:rStyle w:val="13"/>
        <w:b/>
      </w:rPr>
      <w:fldChar w:fldCharType="end"/>
    </w:r>
    <w:r>
      <w:rPr>
        <w:rStyle w:val="13"/>
        <w:b/>
      </w:rPr>
      <w:t>/</w:t>
    </w:r>
    <w:r>
      <w:rPr>
        <w:rStyle w:val="13"/>
        <w:b/>
      </w:rPr>
      <w:fldChar w:fldCharType="begin"/>
    </w:r>
    <w:r>
      <w:rPr>
        <w:rStyle w:val="13"/>
        <w:b/>
      </w:rPr>
      <w:instrText xml:space="preserve"> NUMPAGES </w:instrText>
    </w:r>
    <w:r>
      <w:rPr>
        <w:rStyle w:val="13"/>
        <w:b/>
      </w:rPr>
      <w:fldChar w:fldCharType="separate"/>
    </w:r>
    <w:r>
      <w:rPr>
        <w:rStyle w:val="13"/>
        <w:b/>
      </w:rPr>
      <w:t>6</w:t>
    </w:r>
    <w:r>
      <w:rPr>
        <w:rStyle w:val="13"/>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rStyle w:val="13"/>
        <w:b/>
      </w:rPr>
      <w:fldChar w:fldCharType="begin"/>
    </w:r>
    <w:r>
      <w:rPr>
        <w:rStyle w:val="13"/>
        <w:b/>
      </w:rPr>
      <w:instrText xml:space="preserve"> PAGE </w:instrText>
    </w:r>
    <w:r>
      <w:rPr>
        <w:rStyle w:val="13"/>
        <w:b/>
      </w:rPr>
      <w:fldChar w:fldCharType="separate"/>
    </w:r>
    <w:r>
      <w:rPr>
        <w:rStyle w:val="13"/>
        <w:b/>
      </w:rPr>
      <w:t>1</w:t>
    </w:r>
    <w:r>
      <w:rPr>
        <w:rStyle w:val="13"/>
        <w:b/>
      </w:rPr>
      <w:fldChar w:fldCharType="end"/>
    </w:r>
    <w:r>
      <w:rPr>
        <w:rStyle w:val="13"/>
        <w:b/>
      </w:rPr>
      <w:t>/</w:t>
    </w:r>
    <w:r>
      <w:rPr>
        <w:rStyle w:val="13"/>
        <w:b/>
      </w:rPr>
      <w:fldChar w:fldCharType="begin"/>
    </w:r>
    <w:r>
      <w:rPr>
        <w:rStyle w:val="13"/>
        <w:b/>
      </w:rPr>
      <w:instrText xml:space="preserve"> NUMPAGES </w:instrText>
    </w:r>
    <w:r>
      <w:rPr>
        <w:rStyle w:val="13"/>
        <w:b/>
      </w:rPr>
      <w:fldChar w:fldCharType="separate"/>
    </w:r>
    <w:r>
      <w:rPr>
        <w:rStyle w:val="13"/>
        <w:b/>
      </w:rPr>
      <w:t>1</w:t>
    </w:r>
    <w:r>
      <w:rPr>
        <w:rStyle w:val="13"/>
        <w:b/>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4721"/>
        <w:tab w:val="right" w:pos="9356"/>
      </w:tabs>
      <w:spacing w:after="0"/>
      <w:rPr>
        <w:rFonts w:cs="Arial"/>
        <w:b/>
        <w:i/>
        <w:color w:val="000000"/>
        <w:sz w:val="28"/>
        <w:szCs w:val="28"/>
        <w:lang w:val="en-US"/>
      </w:rPr>
    </w:pPr>
    <w:r>
      <w:rPr>
        <w:rFonts w:cs="Arial"/>
        <w:lang w:val="en-US"/>
      </w:rPr>
      <w:t>3GPP TSG-SA4#102 meeting</w:t>
    </w:r>
    <w:r>
      <w:rPr>
        <w:rFonts w:cs="Arial"/>
        <w:b/>
        <w:i/>
        <w:lang w:val="en-US"/>
      </w:rPr>
      <w:tab/>
    </w:r>
    <w:r>
      <w:rPr>
        <w:rFonts w:cs="Arial"/>
        <w:b/>
        <w:i/>
        <w:lang w:val="en-US"/>
      </w:rPr>
      <w:tab/>
    </w:r>
    <w:r>
      <w:rPr>
        <w:rFonts w:cs="Arial"/>
        <w:b/>
        <w:i/>
        <w:sz w:val="28"/>
        <w:szCs w:val="28"/>
        <w:lang w:val="en-US"/>
      </w:rPr>
      <w:t>Tdoc S4 (19</w:t>
    </w:r>
    <w:r>
      <w:rPr>
        <w:rFonts w:cs="Arial"/>
        <w:b/>
        <w:i/>
        <w:color w:val="000000"/>
        <w:sz w:val="28"/>
        <w:szCs w:val="28"/>
        <w:lang w:val="en-US"/>
      </w:rPr>
      <w:t>)0100</w:t>
    </w:r>
  </w:p>
  <w:p>
    <w:pPr>
      <w:tabs>
        <w:tab w:val="right" w:pos="9360"/>
      </w:tabs>
      <w:spacing w:after="0"/>
      <w:rPr>
        <w:lang w:val="en-US" w:eastAsia="zh-CN"/>
      </w:rPr>
    </w:pPr>
    <w:r>
      <w:rPr>
        <w:rFonts w:cs="Arial"/>
        <w:lang w:val="en-US" w:eastAsia="zh-CN"/>
      </w:rPr>
      <w:t>28 Jan-1 Feb 2019, Bruges, Belgium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BC9285"/>
    <w:multiLevelType w:val="singleLevel"/>
    <w:tmpl w:val="E4BC9285"/>
    <w:lvl w:ilvl="0" w:tentative="0">
      <w:start w:val="1"/>
      <w:numFmt w:val="decimal"/>
      <w:lvlText w:val="[%1]"/>
      <w:lvlJc w:val="left"/>
    </w:lvl>
  </w:abstractNum>
  <w:abstractNum w:abstractNumId="1">
    <w:nsid w:val="429FCBDF"/>
    <w:multiLevelType w:val="singleLevel"/>
    <w:tmpl w:val="429FCBDF"/>
    <w:lvl w:ilvl="0" w:tentative="0">
      <w:start w:val="1"/>
      <w:numFmt w:val="decimal"/>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documentProtection w:enforcement="0"/>
  <w:defaultTabStop w:val="720"/>
  <w:displayHorizontalDrawingGridEvery w:val="1"/>
  <w:displayVerticalDrawingGridEvery w:val="1"/>
  <w:noPunctuationKerning w:val="1"/>
  <w:characterSpacingControl w:val="doNotCompress"/>
  <w:endnotePr>
    <w:numFmt w:val="decimal"/>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78F3"/>
    <w:rsid w:val="00005C30"/>
    <w:rsid w:val="000138E0"/>
    <w:rsid w:val="00014790"/>
    <w:rsid w:val="00032880"/>
    <w:rsid w:val="00047E4E"/>
    <w:rsid w:val="00066888"/>
    <w:rsid w:val="000B74EF"/>
    <w:rsid w:val="000C65E6"/>
    <w:rsid w:val="000D058D"/>
    <w:rsid w:val="00135B07"/>
    <w:rsid w:val="00142328"/>
    <w:rsid w:val="001504F5"/>
    <w:rsid w:val="00151E2B"/>
    <w:rsid w:val="001547AE"/>
    <w:rsid w:val="00176531"/>
    <w:rsid w:val="001819EB"/>
    <w:rsid w:val="00191002"/>
    <w:rsid w:val="00195BF6"/>
    <w:rsid w:val="001B7E42"/>
    <w:rsid w:val="001C49ED"/>
    <w:rsid w:val="001F2911"/>
    <w:rsid w:val="00226EA0"/>
    <w:rsid w:val="00241741"/>
    <w:rsid w:val="002850A2"/>
    <w:rsid w:val="002E4BEF"/>
    <w:rsid w:val="002F390F"/>
    <w:rsid w:val="00305BFA"/>
    <w:rsid w:val="00310BF7"/>
    <w:rsid w:val="003173BA"/>
    <w:rsid w:val="0032286D"/>
    <w:rsid w:val="0034799A"/>
    <w:rsid w:val="00373C11"/>
    <w:rsid w:val="00375DA6"/>
    <w:rsid w:val="00381171"/>
    <w:rsid w:val="00382894"/>
    <w:rsid w:val="0039402D"/>
    <w:rsid w:val="00397EB9"/>
    <w:rsid w:val="003A5875"/>
    <w:rsid w:val="003F4819"/>
    <w:rsid w:val="004463D7"/>
    <w:rsid w:val="00465A2E"/>
    <w:rsid w:val="00475C3A"/>
    <w:rsid w:val="00486C71"/>
    <w:rsid w:val="004A44C0"/>
    <w:rsid w:val="004C1674"/>
    <w:rsid w:val="004C5106"/>
    <w:rsid w:val="004C6978"/>
    <w:rsid w:val="0050415B"/>
    <w:rsid w:val="00534905"/>
    <w:rsid w:val="00542DDD"/>
    <w:rsid w:val="005707CB"/>
    <w:rsid w:val="005A7124"/>
    <w:rsid w:val="005C602B"/>
    <w:rsid w:val="005C7F62"/>
    <w:rsid w:val="005D03E4"/>
    <w:rsid w:val="005E62B0"/>
    <w:rsid w:val="00640992"/>
    <w:rsid w:val="0064218A"/>
    <w:rsid w:val="006521FB"/>
    <w:rsid w:val="006A4CD9"/>
    <w:rsid w:val="006B5532"/>
    <w:rsid w:val="006D1038"/>
    <w:rsid w:val="006E0FA8"/>
    <w:rsid w:val="006E6A5E"/>
    <w:rsid w:val="006E7F6B"/>
    <w:rsid w:val="00732967"/>
    <w:rsid w:val="00753975"/>
    <w:rsid w:val="007674D6"/>
    <w:rsid w:val="00773180"/>
    <w:rsid w:val="0078229B"/>
    <w:rsid w:val="0079484C"/>
    <w:rsid w:val="007B4C4D"/>
    <w:rsid w:val="007C54FA"/>
    <w:rsid w:val="007D7C22"/>
    <w:rsid w:val="00800F24"/>
    <w:rsid w:val="00822396"/>
    <w:rsid w:val="00834D9D"/>
    <w:rsid w:val="0083768C"/>
    <w:rsid w:val="00873DF0"/>
    <w:rsid w:val="008836CF"/>
    <w:rsid w:val="008B7403"/>
    <w:rsid w:val="008D42A2"/>
    <w:rsid w:val="008E0728"/>
    <w:rsid w:val="008E24E9"/>
    <w:rsid w:val="009019A7"/>
    <w:rsid w:val="00916F3B"/>
    <w:rsid w:val="00936E59"/>
    <w:rsid w:val="00940CAF"/>
    <w:rsid w:val="00955518"/>
    <w:rsid w:val="009666DA"/>
    <w:rsid w:val="009A1A83"/>
    <w:rsid w:val="009A2E7A"/>
    <w:rsid w:val="009A417B"/>
    <w:rsid w:val="009D28E5"/>
    <w:rsid w:val="009F786C"/>
    <w:rsid w:val="00A02103"/>
    <w:rsid w:val="00A15971"/>
    <w:rsid w:val="00A505E8"/>
    <w:rsid w:val="00A56476"/>
    <w:rsid w:val="00A56515"/>
    <w:rsid w:val="00A60644"/>
    <w:rsid w:val="00A665E8"/>
    <w:rsid w:val="00A73FC5"/>
    <w:rsid w:val="00A878F3"/>
    <w:rsid w:val="00AA4AB0"/>
    <w:rsid w:val="00AB03C7"/>
    <w:rsid w:val="00AC0041"/>
    <w:rsid w:val="00B02EE9"/>
    <w:rsid w:val="00B15A46"/>
    <w:rsid w:val="00B556F0"/>
    <w:rsid w:val="00B6068B"/>
    <w:rsid w:val="00B66CC1"/>
    <w:rsid w:val="00B80652"/>
    <w:rsid w:val="00B8601D"/>
    <w:rsid w:val="00B959F0"/>
    <w:rsid w:val="00BB5EEA"/>
    <w:rsid w:val="00BD14D8"/>
    <w:rsid w:val="00C03211"/>
    <w:rsid w:val="00C54942"/>
    <w:rsid w:val="00C82878"/>
    <w:rsid w:val="00C929A7"/>
    <w:rsid w:val="00CA73FD"/>
    <w:rsid w:val="00CE4774"/>
    <w:rsid w:val="00D1343A"/>
    <w:rsid w:val="00D43CC3"/>
    <w:rsid w:val="00D50CB6"/>
    <w:rsid w:val="00D57370"/>
    <w:rsid w:val="00D77456"/>
    <w:rsid w:val="00D9211E"/>
    <w:rsid w:val="00D95F9F"/>
    <w:rsid w:val="00DC160D"/>
    <w:rsid w:val="00DD65A2"/>
    <w:rsid w:val="00E04CD2"/>
    <w:rsid w:val="00E177F4"/>
    <w:rsid w:val="00E83E46"/>
    <w:rsid w:val="00E94890"/>
    <w:rsid w:val="00ED66E5"/>
    <w:rsid w:val="00EF005D"/>
    <w:rsid w:val="00EF5426"/>
    <w:rsid w:val="00F90E9A"/>
    <w:rsid w:val="00F937DD"/>
    <w:rsid w:val="00F93D4F"/>
    <w:rsid w:val="00F96A8F"/>
    <w:rsid w:val="00FA3F5B"/>
    <w:rsid w:val="00FD06A7"/>
    <w:rsid w:val="00FF47F7"/>
    <w:rsid w:val="0AB6278F"/>
    <w:rsid w:val="0EE56CD1"/>
    <w:rsid w:val="114117F5"/>
    <w:rsid w:val="1E681C01"/>
    <w:rsid w:val="30E578AB"/>
    <w:rsid w:val="3213306D"/>
    <w:rsid w:val="35730422"/>
    <w:rsid w:val="37D2780D"/>
    <w:rsid w:val="4E4C3010"/>
    <w:rsid w:val="64FF1291"/>
    <w:rsid w:val="68352D56"/>
    <w:rsid w:val="69291684"/>
    <w:rsid w:val="6E390473"/>
    <w:rsid w:val="70E55F47"/>
    <w:rsid w:val="71BC265A"/>
    <w:rsid w:val="72CE5036"/>
    <w:rsid w:val="7626301E"/>
    <w:rsid w:val="773F49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0"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Times New Roman" w:cs="Times New Roman"/>
      <w:sz w:val="20"/>
      <w:szCs w:val="20"/>
      <w:lang w:val="en-GB" w:eastAsia="en-US" w:bidi="ar-SA"/>
    </w:rPr>
  </w:style>
  <w:style w:type="paragraph" w:styleId="2">
    <w:name w:val="heading 1"/>
    <w:basedOn w:val="1"/>
    <w:next w:val="1"/>
    <w:link w:val="15"/>
    <w:qFormat/>
    <w:uiPriority w:val="0"/>
    <w:pPr>
      <w:keepNext/>
      <w:outlineLvl w:val="0"/>
    </w:pPr>
    <w:rPr>
      <w:sz w:val="24"/>
    </w:rPr>
  </w:style>
  <w:style w:type="paragraph" w:styleId="3">
    <w:name w:val="heading 2"/>
    <w:basedOn w:val="1"/>
    <w:next w:val="1"/>
    <w:link w:val="19"/>
    <w:unhideWhenUsed/>
    <w:qFormat/>
    <w:uiPriority w:val="9"/>
    <w:pPr>
      <w:keepNext/>
      <w:keepLines/>
      <w:spacing w:before="40" w:after="0"/>
      <w:outlineLvl w:val="1"/>
    </w:pPr>
    <w:rPr>
      <w:rFonts w:asciiTheme="majorHAnsi" w:hAnsiTheme="majorHAnsi" w:eastAsiaTheme="majorEastAsia" w:cstheme="majorBidi"/>
      <w:color w:val="2F5597" w:themeColor="accent1" w:themeShade="BF"/>
      <w:sz w:val="26"/>
      <w:szCs w:val="26"/>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4">
    <w:name w:val="caption"/>
    <w:basedOn w:val="1"/>
    <w:next w:val="1"/>
    <w:unhideWhenUsed/>
    <w:qFormat/>
    <w:uiPriority w:val="0"/>
    <w:rPr>
      <w:b/>
      <w:bCs/>
    </w:rPr>
  </w:style>
  <w:style w:type="paragraph" w:styleId="5">
    <w:name w:val="annotation text"/>
    <w:basedOn w:val="1"/>
    <w:link w:val="20"/>
    <w:unhideWhenUsed/>
    <w:qFormat/>
    <w:uiPriority w:val="99"/>
    <w:pPr>
      <w:spacing w:line="240" w:lineRule="auto"/>
    </w:pPr>
  </w:style>
  <w:style w:type="paragraph" w:styleId="6">
    <w:name w:val="Balloon Text"/>
    <w:basedOn w:val="1"/>
    <w:link w:val="22"/>
    <w:semiHidden/>
    <w:unhideWhenUsed/>
    <w:qFormat/>
    <w:uiPriority w:val="99"/>
    <w:pPr>
      <w:spacing w:after="0" w:line="240" w:lineRule="auto"/>
    </w:pPr>
    <w:rPr>
      <w:rFonts w:ascii="Segoe UI" w:hAnsi="Segoe UI" w:cs="Segoe UI"/>
      <w:sz w:val="18"/>
      <w:szCs w:val="18"/>
    </w:rPr>
  </w:style>
  <w:style w:type="paragraph" w:styleId="7">
    <w:name w:val="footer"/>
    <w:basedOn w:val="1"/>
    <w:link w:val="17"/>
    <w:qFormat/>
    <w:uiPriority w:val="0"/>
    <w:pPr>
      <w:tabs>
        <w:tab w:val="center" w:pos="4320"/>
        <w:tab w:val="right" w:pos="8640"/>
      </w:tabs>
    </w:pPr>
  </w:style>
  <w:style w:type="paragraph" w:styleId="8">
    <w:name w:val="header"/>
    <w:basedOn w:val="1"/>
    <w:link w:val="16"/>
    <w:qFormat/>
    <w:uiPriority w:val="0"/>
    <w:pPr>
      <w:widowControl/>
      <w:tabs>
        <w:tab w:val="center" w:pos="4819"/>
        <w:tab w:val="right" w:pos="9071"/>
      </w:tabs>
    </w:pPr>
  </w:style>
  <w:style w:type="paragraph" w:styleId="9">
    <w:name w:val="annotation subject"/>
    <w:basedOn w:val="5"/>
    <w:next w:val="5"/>
    <w:link w:val="21"/>
    <w:semiHidden/>
    <w:unhideWhenUsed/>
    <w:qFormat/>
    <w:uiPriority w:val="99"/>
    <w:rPr>
      <w:b/>
      <w:bCs/>
    </w:rPr>
  </w:style>
  <w:style w:type="table" w:styleId="11">
    <w:name w:val="Table Grid"/>
    <w:basedOn w:val="10"/>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3">
    <w:name w:val="page number"/>
    <w:basedOn w:val="12"/>
    <w:qFormat/>
    <w:uiPriority w:val="0"/>
  </w:style>
  <w:style w:type="character" w:styleId="14">
    <w:name w:val="annotation reference"/>
    <w:basedOn w:val="12"/>
    <w:semiHidden/>
    <w:unhideWhenUsed/>
    <w:qFormat/>
    <w:uiPriority w:val="99"/>
    <w:rPr>
      <w:sz w:val="16"/>
      <w:szCs w:val="16"/>
    </w:rPr>
  </w:style>
  <w:style w:type="character" w:customStyle="1" w:styleId="15">
    <w:name w:val="Heading 1 Char"/>
    <w:basedOn w:val="12"/>
    <w:link w:val="2"/>
    <w:qFormat/>
    <w:uiPriority w:val="0"/>
    <w:rPr>
      <w:rFonts w:ascii="Arial" w:hAnsi="Arial" w:eastAsia="Times New Roman" w:cs="Times New Roman"/>
      <w:sz w:val="24"/>
      <w:szCs w:val="20"/>
      <w:lang w:val="en-GB"/>
    </w:rPr>
  </w:style>
  <w:style w:type="character" w:customStyle="1" w:styleId="16">
    <w:name w:val="Header Char"/>
    <w:basedOn w:val="12"/>
    <w:link w:val="8"/>
    <w:qFormat/>
    <w:uiPriority w:val="0"/>
    <w:rPr>
      <w:rFonts w:ascii="Arial" w:hAnsi="Arial" w:eastAsia="Times New Roman" w:cs="Times New Roman"/>
      <w:sz w:val="20"/>
      <w:szCs w:val="20"/>
      <w:lang w:val="en-GB"/>
    </w:rPr>
  </w:style>
  <w:style w:type="character" w:customStyle="1" w:styleId="17">
    <w:name w:val="Footer Char"/>
    <w:basedOn w:val="12"/>
    <w:link w:val="7"/>
    <w:qFormat/>
    <w:uiPriority w:val="0"/>
    <w:rPr>
      <w:rFonts w:ascii="Arial" w:hAnsi="Arial" w:eastAsia="Times New Roman" w:cs="Times New Roman"/>
      <w:sz w:val="20"/>
      <w:szCs w:val="20"/>
      <w:lang w:val="en-GB"/>
    </w:rPr>
  </w:style>
  <w:style w:type="character" w:styleId="18">
    <w:name w:val="Placeholder Text"/>
    <w:basedOn w:val="12"/>
    <w:semiHidden/>
    <w:qFormat/>
    <w:uiPriority w:val="99"/>
    <w:rPr>
      <w:color w:val="808080"/>
    </w:rPr>
  </w:style>
  <w:style w:type="character" w:customStyle="1" w:styleId="19">
    <w:name w:val="Heading 2 Char"/>
    <w:basedOn w:val="12"/>
    <w:link w:val="3"/>
    <w:qFormat/>
    <w:uiPriority w:val="9"/>
    <w:rPr>
      <w:rFonts w:asciiTheme="majorHAnsi" w:hAnsiTheme="majorHAnsi" w:eastAsiaTheme="majorEastAsia" w:cstheme="majorBidi"/>
      <w:color w:val="2F5597" w:themeColor="accent1" w:themeShade="BF"/>
      <w:sz w:val="26"/>
      <w:szCs w:val="26"/>
      <w:lang w:val="en-GB"/>
    </w:rPr>
  </w:style>
  <w:style w:type="character" w:customStyle="1" w:styleId="20">
    <w:name w:val="Comment Text Char"/>
    <w:basedOn w:val="12"/>
    <w:link w:val="5"/>
    <w:qFormat/>
    <w:uiPriority w:val="99"/>
    <w:rPr>
      <w:rFonts w:ascii="Arial" w:hAnsi="Arial" w:eastAsia="Times New Roman" w:cs="Times New Roman"/>
      <w:sz w:val="20"/>
      <w:szCs w:val="20"/>
      <w:lang w:val="en-GB"/>
    </w:rPr>
  </w:style>
  <w:style w:type="character" w:customStyle="1" w:styleId="21">
    <w:name w:val="Comment Subject Char"/>
    <w:basedOn w:val="20"/>
    <w:link w:val="9"/>
    <w:semiHidden/>
    <w:qFormat/>
    <w:uiPriority w:val="99"/>
    <w:rPr>
      <w:rFonts w:ascii="Arial" w:hAnsi="Arial" w:eastAsia="Times New Roman" w:cs="Times New Roman"/>
      <w:b/>
      <w:bCs/>
      <w:sz w:val="20"/>
      <w:szCs w:val="20"/>
      <w:lang w:val="en-GB"/>
    </w:rPr>
  </w:style>
  <w:style w:type="character" w:customStyle="1" w:styleId="22">
    <w:name w:val="Balloon Text Char"/>
    <w:basedOn w:val="12"/>
    <w:link w:val="6"/>
    <w:semiHidden/>
    <w:qFormat/>
    <w:uiPriority w:val="99"/>
    <w:rPr>
      <w:rFonts w:ascii="Segoe UI" w:hAnsi="Segoe UI" w:eastAsia="Times New Roman" w:cs="Segoe UI"/>
      <w:sz w:val="18"/>
      <w:szCs w:val="18"/>
      <w:lang w:val="en-GB"/>
    </w:rPr>
  </w:style>
  <w:style w:type="paragraph" w:styleId="23">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2813</Words>
  <Characters>16036</Characters>
  <Lines>133</Lines>
  <Paragraphs>37</Paragraphs>
  <TotalTime>32</TotalTime>
  <ScaleCrop>false</ScaleCrop>
  <LinksUpToDate>false</LinksUpToDate>
  <CharactersWithSpaces>18812</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2019-01-16T14:03:00Z</dcterms:created>
  <dc:creator>Bruhn, Stefan</dc:creator>
  <cp:lastModifiedBy>Huan-yu Su</cp:lastModifiedBy>
  <dcterms:modified xsi:type="dcterms:W3CDTF">2019-03-29T02:15:35Z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